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  <w:t>«Детский сад №27»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  <w:r w:rsidRPr="00A81B96"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  <w:t>ПЛАН ПО САМООБРАЗОВАНИЮ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  <w:r w:rsidRPr="00A81B96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>Киликевич Ольги Владимировны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</w:pPr>
      <w:r w:rsidRPr="00A81B96">
        <w:rPr>
          <w:rFonts w:ascii="Times New Roman" w:eastAsia="Droid Sans Fallback" w:hAnsi="Times New Roman" w:cs="FreeSans"/>
          <w:b/>
          <w:bCs/>
          <w:color w:val="000000"/>
          <w:sz w:val="28"/>
          <w:szCs w:val="28"/>
          <w:lang w:eastAsia="zh-CN" w:bidi="hi-IN"/>
        </w:rPr>
        <w:t>Тема</w:t>
      </w:r>
      <w:r w:rsidRPr="00A81B96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: </w:t>
      </w:r>
      <w:r w:rsidRPr="00A81B96"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  <w:t xml:space="preserve">«Развитие математических способностей дошкольников посредством использования блоков </w:t>
      </w:r>
      <w:proofErr w:type="spellStart"/>
      <w:r w:rsidRPr="00A81B96"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FreeSans"/>
          <w:b/>
          <w:color w:val="000000"/>
          <w:sz w:val="28"/>
          <w:szCs w:val="28"/>
          <w:lang w:eastAsia="zh-CN" w:bidi="hi-IN"/>
        </w:rPr>
        <w:t>»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FreeSans"/>
          <w:b/>
          <w:bCs/>
          <w:color w:val="000000"/>
          <w:sz w:val="28"/>
          <w:szCs w:val="28"/>
          <w:lang w:eastAsia="zh-CN" w:bidi="hi-IN"/>
        </w:rPr>
        <w:t>2022/2023 учебный год</w:t>
      </w: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center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t xml:space="preserve">Дата начала работы над </w:t>
      </w:r>
      <w:proofErr w:type="gramStart"/>
      <w:r w:rsidRPr="00A81B96"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t xml:space="preserve">темой:   </w:t>
      </w:r>
      <w:proofErr w:type="gramEnd"/>
      <w:r w:rsidRPr="00A81B96"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t xml:space="preserve">                      сентябрь 2022 г.</w:t>
      </w: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  <w:t xml:space="preserve">Дата окончания </w:t>
      </w:r>
      <w:proofErr w:type="gramStart"/>
      <w:r w:rsidRPr="00A81B96"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  <w:t xml:space="preserve">работы:   </w:t>
      </w:r>
      <w:proofErr w:type="gramEnd"/>
      <w:r w:rsidRPr="00A81B96">
        <w:rPr>
          <w:rFonts w:ascii="Times New Roman" w:eastAsia="Droid Sans Fallback" w:hAnsi="Times New Roman" w:cs="FreeSans"/>
          <w:color w:val="000000"/>
          <w:sz w:val="24"/>
          <w:szCs w:val="24"/>
          <w:lang w:eastAsia="zh-CN" w:bidi="hi-IN"/>
        </w:rPr>
        <w:t xml:space="preserve">                                  май         2023 г.                              </w:t>
      </w:r>
      <w:r w:rsidRPr="00A81B96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A81B96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360" w:lineRule="auto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 w:rsidRPr="00A81B96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г. Сыктывкар</w:t>
      </w:r>
    </w:p>
    <w:p w:rsidR="00A81B96" w:rsidRPr="00A81B96" w:rsidRDefault="00A81B96" w:rsidP="00A81B96">
      <w:pPr>
        <w:widowControl w:val="0"/>
        <w:spacing w:after="0" w:line="360" w:lineRule="auto"/>
        <w:jc w:val="both"/>
        <w:rPr>
          <w:rFonts w:ascii="Liberation Serif" w:eastAsia="Droid Sans Fallback" w:hAnsi="Liberation Serif" w:cs="FreeSans"/>
          <w:b/>
          <w:bCs/>
          <w:color w:val="00000A"/>
          <w:sz w:val="28"/>
          <w:szCs w:val="28"/>
          <w:lang w:eastAsia="zh-CN" w:bidi="hi-IN"/>
        </w:rPr>
      </w:pPr>
      <w:r w:rsidRPr="00A81B96">
        <w:rPr>
          <w:rFonts w:ascii="Liberation Serif" w:eastAsia="Droid Sans Fallback" w:hAnsi="Liberation Serif" w:cs="FreeSans"/>
          <w:b/>
          <w:bCs/>
          <w:color w:val="00000A"/>
          <w:sz w:val="28"/>
          <w:szCs w:val="28"/>
          <w:lang w:eastAsia="zh-CN" w:bidi="hi-IN"/>
        </w:rPr>
        <w:lastRenderedPageBreak/>
        <w:t>Актуальность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 В соответствии с современными тенденциями развития образования, мы должны выпустить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 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 что логической составляющей в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 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Дидактическое пособие «Логические блоки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» давно и успешно используется в дошкольной педагогике всего мира. Игры с блоками доступно на наглядной основе знакомят детей с формой, цветом и размером объектов, с математическими представлениями и начальными знаниями по информатике. Они развивают у детей логическое и аналитическое мышление (анализ, сравнение, классификация, обобщение, творческие способности, а также – восприятие, память, внимание и воображение. Играя с блоками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, ребёнок выполняет разнообразные предметные действия (группирует по признаку, выкладывают ряды по заданному алгоритму). В процессе разнообразных действий с логическими блоками дети овладевают различными мыслительными умениями, важными в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предматематической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подготовки, и с точки зрения общего интеллектуального развития.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 - игровых действий. Игры с блоками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дают возможность детям овладеть мыслительными операциями и действиями, важными как в плане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предматематической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подготовки, так и с точки зрения общего интеллектуального развития. 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Цель: </w:t>
      </w: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Развитие математических представлений детей среднего дошкольного возраста через игры, посредством использования блоков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. 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Возраст детей: 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с</w:t>
      </w: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4</w:t>
      </w: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до</w:t>
      </w: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5</w:t>
      </w: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лет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Задачи для детей: 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Продолжать знакомить с формой, цветом, размером, толщиной объектов. 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Развивать умения выявлять свойства в объектах, обобщать их по свойствам (по одному, двум, трем), объяснять сходства и различия объектов, обосновывать свои рассуждения. 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Развивать у детей мыслительные операции (анализ, сравнение, классификация, обобщение); познавательные процессы (восприятие, память, внимание, воображение).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Развивать логическое мышление, творческие способности, воображение, фантазию, способности к моделированию и конструированию. 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Расширить словарный запас детей, связную речь и грамматический строй речи в процессе проектной деятельности. </w:t>
      </w:r>
    </w:p>
    <w:p w:rsidR="00A81B96" w:rsidRPr="00A81B96" w:rsidRDefault="00A81B96" w:rsidP="00A81B9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Воспитывать самостоятельность, инициативу, настойчивость, в достижении цели, преодолении трудностей. Воспитывать умение рассуждать логически.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>Для педагога:</w:t>
      </w:r>
    </w:p>
    <w:p w:rsidR="00A81B96" w:rsidRPr="00A81B96" w:rsidRDefault="00A81B96" w:rsidP="00A81B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совершенствование комп</w:t>
      </w:r>
      <w:r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етентности педагога в вопросах </w:t>
      </w: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обучения и воспитания дошкольников, отборе содержания дошкольного образования, повышения качества педагогического труда;</w:t>
      </w:r>
    </w:p>
    <w:p w:rsidR="00A81B96" w:rsidRPr="00A81B96" w:rsidRDefault="00A81B96" w:rsidP="00A81B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сплочение родителей,</w:t>
      </w:r>
      <w:r w:rsidR="00A30D5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детей и педагогов по вопросам </w:t>
      </w:r>
      <w:bookmarkStart w:id="0" w:name="_GoBack"/>
      <w:bookmarkEnd w:id="0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обучения и развития детей;</w:t>
      </w:r>
    </w:p>
    <w:p w:rsidR="00A81B96" w:rsidRPr="00A81B96" w:rsidRDefault="00A81B96" w:rsidP="00A81B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lastRenderedPageBreak/>
        <w:t>оснащение предметно – развивающей образовательной среды развивающими играми, пособиями;</w:t>
      </w:r>
    </w:p>
    <w:p w:rsidR="00A81B96" w:rsidRPr="00A81B96" w:rsidRDefault="00A81B96" w:rsidP="00A81B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создание положительной атмосферы общения между детьми, родителями и педагогами.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Для родителей (законных представителей):</w:t>
      </w:r>
    </w:p>
    <w:p w:rsidR="00A81B96" w:rsidRPr="00A81B96" w:rsidRDefault="00A81B96" w:rsidP="00A81B9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формирование у родителей (законных представителей) интереса к вопросу развития математических способностей у детей;</w:t>
      </w:r>
    </w:p>
    <w:p w:rsidR="00A81B96" w:rsidRPr="00A81B96" w:rsidRDefault="00A81B96" w:rsidP="00A81B9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познакомить родителей со структурой игр с логическими блоками </w:t>
      </w:r>
      <w:proofErr w:type="spellStart"/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, её обучающими задачами, способами подачи детям; </w:t>
      </w:r>
    </w:p>
    <w:p w:rsidR="00A81B96" w:rsidRPr="00A81B96" w:rsidRDefault="00A81B96" w:rsidP="00A81B9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установление партнерских отношений родителей (законных представителей) и педагогов в вопросах воспитания, обучения и развития детей.</w:t>
      </w: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>Принципы: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занимательности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- 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                                                                               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новизны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- 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                                                                                                                                                      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динамичности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- 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                                                                                                                                          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сотрудничества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- позволяет создать в ходе продуктивной деятельности, доброжелательное отношение друг к другу и взаимопомощь.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систематичности и последовательности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– 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>Принцип учета возрастных и индивидуальных особенностей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– основывается на знании анатомо-физиологических и психических, возрастных и индивидуальных особенностей ребенка. </w:t>
      </w: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Принцип научности 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– 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величина, в выявлении возможных </w:t>
      </w:r>
      <w:proofErr w:type="spellStart"/>
      <w:r w:rsidRPr="00A81B96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связей, в использовании принятых научных терминов (например, квадрат, прямоугольник, треугольник, круг и пр.). </w:t>
      </w:r>
    </w:p>
    <w:p w:rsidR="00A81B96" w:rsidRPr="00A81B96" w:rsidRDefault="00A81B96" w:rsidP="00A81B96">
      <w:pPr>
        <w:spacing w:after="200" w:line="240" w:lineRule="auto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>Формы работы: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игра, упражнение, игры с альбомами, конструирование, образовательные ситуации.</w:t>
      </w: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81B96" w:rsidRPr="00A81B96" w:rsidRDefault="00A81B96" w:rsidP="00A81B9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>Методы:</w:t>
      </w:r>
      <w:r w:rsidRPr="00A81B9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игровой, словесный, наглядный, показ, проблемная ситуация, практический.</w:t>
      </w:r>
    </w:p>
    <w:tbl>
      <w:tblPr>
        <w:tblpPr w:leftFromText="180" w:rightFromText="180" w:vertAnchor="text" w:horzAnchor="margin" w:tblpXSpec="center" w:tblpY="-260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1"/>
        <w:gridCol w:w="5410"/>
        <w:gridCol w:w="3217"/>
      </w:tblGrid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Содержание деятельности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Срок выполнения</w:t>
            </w:r>
          </w:p>
        </w:tc>
      </w:tr>
      <w:tr w:rsidR="00A81B96" w:rsidRPr="00A81B96" w:rsidTr="00987B87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Теоретическая часть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Изучение научно-методической литературы по данной теме.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 течение года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Знакомство с передовым педагогическим опытом по данной теме: посещение лекций, конференций, семинаров, круглых столов, </w:t>
            </w:r>
            <w:proofErr w:type="spellStart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, тренингов, мастер- классов. 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 течение года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Участие в конкурсах профессионального мастерства. Участие в конкурсах в Интернете.</w:t>
            </w:r>
          </w:p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Издательская деятельность (публикации в специализированных изданиях, помещение своих разработок на сайтах в Интернете).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 течение года</w:t>
            </w:r>
          </w:p>
        </w:tc>
      </w:tr>
      <w:tr w:rsidR="00A81B96" w:rsidRPr="00A81B96" w:rsidTr="00987B87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Практическая часть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Составление картотеки игр с Блоками </w:t>
            </w:r>
            <w:proofErr w:type="spellStart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Дьенеша</w:t>
            </w:r>
            <w:proofErr w:type="spellEnd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 для детей среднего дошкольного возраста.</w:t>
            </w:r>
          </w:p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Оформление папки «Волшебные блоки».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 течение года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Составление плана реализации темы в работе с детьми и родителями.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Составление рекомендации для родителей по использованию и проведению развивающих игр дома. Оформление соответствующей консультации.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A81B96" w:rsidRPr="00A81B96" w:rsidTr="00987B87">
        <w:trPr>
          <w:trHeight w:val="681"/>
        </w:trPr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Оформление тематических стендов «Логические игры с Блоками </w:t>
            </w:r>
            <w:proofErr w:type="spellStart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Дьенеша</w:t>
            </w:r>
            <w:proofErr w:type="spellEnd"/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Февраль-апрель</w:t>
            </w:r>
          </w:p>
        </w:tc>
      </w:tr>
      <w:tr w:rsidR="00A81B96" w:rsidRPr="00A81B96" w:rsidTr="00987B87">
        <w:trPr>
          <w:trHeight w:val="738"/>
        </w:trPr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Мастер – класс для родителей «Играем-развиваем».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Март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Пополнение РППС в группе. 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В течение года</w:t>
            </w:r>
          </w:p>
        </w:tc>
      </w:tr>
      <w:tr w:rsidR="00A81B96" w:rsidRPr="00A81B96" w:rsidTr="00987B87"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Подведение итогов по теме самообразования. Презентация для коллег.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81B96" w:rsidRPr="00A81B96" w:rsidRDefault="00A81B96" w:rsidP="00A81B96">
            <w:pPr>
              <w:widowControl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</w:pPr>
            <w:r w:rsidRPr="00A81B96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>Май</w:t>
            </w:r>
          </w:p>
        </w:tc>
      </w:tr>
    </w:tbl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результат: 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детей:</w:t>
      </w:r>
    </w:p>
    <w:p w:rsidR="00A81B96" w:rsidRPr="00A81B96" w:rsidRDefault="00A30D5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Работа </w:t>
      </w:r>
      <w:r w:rsidR="00A81B96"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по данной теме профессионального самообразо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вания поможет мне сформировать </w:t>
      </w:r>
      <w:r w:rsidR="00A81B96"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у детей способности (умение):</w:t>
      </w:r>
    </w:p>
    <w:p w:rsidR="00A81B96" w:rsidRPr="00A81B96" w:rsidRDefault="00A81B96" w:rsidP="00A81B96">
      <w:pPr>
        <w:tabs>
          <w:tab w:val="left" w:pos="423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откликаться на игру, предложенную взрослым, подражать его действиям, принимать игровую задачу;</w:t>
      </w:r>
    </w:p>
    <w:p w:rsidR="00A81B96" w:rsidRPr="00A81B96" w:rsidRDefault="00A81B96" w:rsidP="00A81B96">
      <w:pPr>
        <w:tabs>
          <w:tab w:val="left" w:pos="423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 выделять и учитывать форму, величину, фактуру и другие признаки предметов и явлений при выполнении ряда практических действий;</w:t>
      </w:r>
    </w:p>
    <w:p w:rsidR="00A81B96" w:rsidRPr="00A81B96" w:rsidRDefault="00A81B96" w:rsidP="00A81B96">
      <w:pPr>
        <w:tabs>
          <w:tab w:val="left" w:pos="423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группировать в соответствии с образцом предметы по форме, величине и другим свойствам при выборе из </w:t>
      </w:r>
      <w:proofErr w:type="spell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Pr="00A81B96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разновидностей;</w:t>
      </w:r>
    </w:p>
    <w:p w:rsidR="00A81B96" w:rsidRPr="00A81B96" w:rsidRDefault="00A81B96" w:rsidP="00A81B96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активными, инициативными и любознательными;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творческие способности.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  <w:t xml:space="preserve">Для педагога: </w:t>
      </w: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У меня как у педагога сформируются основы педагогического мастерства, профессионализма и творчества:</w:t>
      </w:r>
    </w:p>
    <w:p w:rsidR="00A81B96" w:rsidRPr="00A81B96" w:rsidRDefault="00A30D56" w:rsidP="00A81B9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- умение анализировать</w:t>
      </w:r>
      <w:r w:rsidR="00A81B96"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научно - методичес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кую литературу, повышение своих</w:t>
      </w:r>
      <w:r w:rsidR="00A81B96" w:rsidRPr="00A81B9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81B96"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теоретических и практических знаний, умений и навыков;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 овладение инновационными педагогическими технологиями воспитания и обучения детей дошкольного возраста;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- умение активизировать творческие спосо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бности и пропагандировать </w:t>
      </w: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свои достижения, применять полученные знания на практике.</w:t>
      </w:r>
    </w:p>
    <w:p w:rsidR="00A81B96" w:rsidRPr="00A81B96" w:rsidRDefault="00A81B96" w:rsidP="00A81B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B96">
        <w:rPr>
          <w:rFonts w:ascii="Times New Roman" w:eastAsia="Calibri" w:hAnsi="Times New Roman" w:cs="Times New Roman"/>
          <w:b/>
          <w:sz w:val="24"/>
          <w:szCs w:val="24"/>
        </w:rPr>
        <w:t>Для родителей (законных представителей):</w:t>
      </w: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</w:rPr>
        <w:t>- формирование у родителей (законных представителей) интереса к вопросу развития познавательных и математических способностей у детей;</w:t>
      </w: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- возникновение у родителей мотивации к использованию блоков </w:t>
      </w:r>
      <w:proofErr w:type="spellStart"/>
      <w:r w:rsidRPr="00A81B96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A81B96">
        <w:rPr>
          <w:rFonts w:ascii="Times New Roman" w:eastAsia="Calibri" w:hAnsi="Times New Roman" w:cs="Times New Roman"/>
          <w:sz w:val="24"/>
          <w:szCs w:val="24"/>
        </w:rPr>
        <w:t xml:space="preserve"> как средства развития логического мышления;</w:t>
      </w: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</w:rPr>
        <w:t>- участвовать в развитии интеллектуальных способностей детей в домашних условиях;</w:t>
      </w: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1B96">
        <w:rPr>
          <w:rFonts w:ascii="Times New Roman" w:eastAsia="Calibri" w:hAnsi="Times New Roman" w:cs="Times New Roman"/>
          <w:sz w:val="24"/>
          <w:szCs w:val="24"/>
        </w:rPr>
        <w:t>- установление партнерских отношений родителей (законных представителей) и педагогов в вопросах воспитания, обучения и развития детей.</w:t>
      </w:r>
      <w:r w:rsidRPr="00A81B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81B96" w:rsidRPr="00A81B96" w:rsidRDefault="00A81B96" w:rsidP="00A81B96">
      <w:pPr>
        <w:spacing w:before="100" w:beforeAutospacing="1" w:after="100" w:afterAutospacing="1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1B96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4882"/>
        <w:gridCol w:w="3669"/>
      </w:tblGrid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tabs>
                <w:tab w:val="center" w:pos="244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«Игра с картинками»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«Где чей гараж»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«Найди клад»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«Посади семена»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различать и называть геометрические фигуры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«Построй ряд».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«Бусы»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«Отгадай фигуру»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«Угощение для медвежат </w:t>
            </w: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Знакомимся со знаками –символами, учимся составлять «семейки» блоков.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умение анализировать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«Логическое домино»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«Отгадай фигуру»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(схематическое изображение геометрических фигур)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«Найди лишний блок»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группировать объекты по определенным признакам. Способствовать развитию умения давать характеристику фигуры по условному обозначению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(схематическое изображение геометрических фигур).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«Продолжи дорожку»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«Укажи на объект с «не»»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«Почини мостик»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«Найди не такую»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различать и называть геометрические фигуры, используя признаки с отрицанием, выполнять действия,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определенному правилу.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«Какая фигура исчезла»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«Чего не хватает»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«Угощение для медвежат </w:t>
            </w: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памяти и концентрации внимания.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Подбираем блоки и фигуры с другими свойствами.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«Улитка»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«Угадай фигуру»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«Хоровод»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Конструируем по мотивам русских народных сказок «Избушка для зайчика», «Теремок»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Упражнять детей в классификации блоков по двум – трем признакам (цвет, форма, величина). 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Способствовать развитию конструктивных умений, выполнять действия, согласно определенному правилу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«Заселим домики»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«Загадки без слов»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«Кошки – мышки»</w:t>
            </w:r>
          </w:p>
        </w:tc>
        <w:tc>
          <w:tcPr>
            <w:tcW w:w="374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развитию способности действия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наглядного моделирования, умение расшифровывать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информацию о свойствах предметов по их знаково-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символическим обозначениям</w:t>
            </w:r>
          </w:p>
        </w:tc>
      </w:tr>
      <w:tr w:rsidR="00A81B96" w:rsidRPr="00A81B96" w:rsidTr="00987B87">
        <w:tc>
          <w:tcPr>
            <w:tcW w:w="1375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018" w:type="dxa"/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«Игра с одним обручем»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«Игра с двумя обручами»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«Отрицание (цвета, размера, толщины, формы)</w:t>
            </w:r>
          </w:p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A81B96" w:rsidRPr="00A81B96" w:rsidRDefault="00A30D56" w:rsidP="00A81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="00A81B96"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разбивать множество по одному свойству на два подмножества, производить логическую операцию «не».</w:t>
            </w:r>
          </w:p>
        </w:tc>
      </w:tr>
    </w:tbl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B96" w:rsidRPr="00A81B96" w:rsidRDefault="00A81B96" w:rsidP="00A81B9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B96">
        <w:rPr>
          <w:rFonts w:ascii="Times New Roman" w:eastAsia="Calibri" w:hAnsi="Times New Roman" w:cs="Times New Roman"/>
          <w:b/>
          <w:sz w:val="24"/>
          <w:szCs w:val="24"/>
        </w:rPr>
        <w:t>План работы с родителями.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5096"/>
        <w:gridCol w:w="3260"/>
      </w:tblGrid>
      <w:tr w:rsidR="00A81B96" w:rsidRPr="00A81B96" w:rsidTr="00987B87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tabs>
                <w:tab w:val="center" w:pos="244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A81B96" w:rsidRPr="00A81B96" w:rsidTr="00987B87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tabs>
                <w:tab w:val="center" w:pos="2443"/>
              </w:tabs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«Роль</w:t>
            </w:r>
            <w:r w:rsidR="00A30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игры в жизни детей дошкольного </w:t>
            </w:r>
            <w:proofErr w:type="gramStart"/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возраста»</w:t>
            </w: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 о значении игры в развитии р</w:t>
            </w:r>
            <w:r w:rsidR="00A30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ебенка. Подбор консультаций по </w:t>
            </w: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теме самообразования.</w:t>
            </w:r>
          </w:p>
        </w:tc>
      </w:tr>
      <w:tr w:rsidR="00A81B96" w:rsidRPr="00A81B96" w:rsidTr="00987B87">
        <w:trPr>
          <w:trHeight w:val="4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Привлечь родителей (законных представителей) к пополнению РППС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30D5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атрибутов </w:t>
            </w:r>
            <w:r w:rsidR="00A81B96"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(комплект геометрических фигур, карточек для игр с Блоками </w:t>
            </w:r>
            <w:proofErr w:type="spellStart"/>
            <w:r w:rsidR="00A81B96"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="00A81B96"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81B96" w:rsidRPr="00A81B96" w:rsidTr="00987B87">
        <w:trPr>
          <w:trHeight w:val="8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«Блоки </w:t>
            </w: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забавная игра для развития и ума»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использованию логических блоков.</w:t>
            </w:r>
          </w:p>
        </w:tc>
      </w:tr>
      <w:tr w:rsidR="00A81B96" w:rsidRPr="00A81B96" w:rsidTr="00987B87">
        <w:trPr>
          <w:trHeight w:val="3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(круглый стол)</w:t>
            </w:r>
          </w:p>
          <w:p w:rsidR="00A81B96" w:rsidRPr="00A81B96" w:rsidRDefault="00A30D5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Общаемся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1B96"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играя – играя общаемся»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навыков через игровую деятельность.</w:t>
            </w:r>
          </w:p>
        </w:tc>
      </w:tr>
      <w:tr w:rsidR="00A81B96" w:rsidRPr="00A81B96" w:rsidTr="00987B87">
        <w:trPr>
          <w:trHeight w:val="12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30D5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A81B96"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«Логические игры с Блоками </w:t>
            </w:r>
            <w:proofErr w:type="spellStart"/>
            <w:proofErr w:type="gramStart"/>
            <w:r w:rsidR="00A81B96"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Дьенеша</w:t>
            </w:r>
            <w:proofErr w:type="spellEnd"/>
            <w:r w:rsidR="00A81B96" w:rsidRPr="00A81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A81B96"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с родителями по оснащению картотеки «Волшебные блоки».</w:t>
            </w:r>
          </w:p>
        </w:tc>
      </w:tr>
      <w:tr w:rsidR="00A81B96" w:rsidRPr="00A81B96" w:rsidTr="00987B87">
        <w:trPr>
          <w:trHeight w:val="7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– класс для родителей «Играем-развиваем»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родителей игровым приемам с детьми.</w:t>
            </w:r>
          </w:p>
        </w:tc>
      </w:tr>
      <w:tr w:rsidR="00A81B96" w:rsidRPr="00A81B96" w:rsidTr="00987B87"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</w:t>
            </w:r>
          </w:p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ОД «Что за чудо эти блоки»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Вовлечь родителей в образовательный процесс группы.</w:t>
            </w:r>
          </w:p>
        </w:tc>
      </w:tr>
      <w:tr w:rsidR="00A81B96" w:rsidRPr="00A81B96" w:rsidTr="00987B87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425" w:type="dxa"/>
            <w:gridSpan w:val="2"/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96" w:type="dxa"/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проделанной работе по те</w:t>
            </w:r>
            <w:r w:rsidR="00A30D56">
              <w:rPr>
                <w:rFonts w:ascii="Times New Roman" w:eastAsia="Calibri" w:hAnsi="Times New Roman" w:cs="Times New Roman"/>
                <w:sz w:val="24"/>
                <w:szCs w:val="24"/>
              </w:rPr>
              <w:t>ме самообразования. Презентация</w:t>
            </w: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81B96" w:rsidRPr="00A81B96" w:rsidRDefault="00A81B96" w:rsidP="00A81B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педсовете.</w:t>
            </w:r>
          </w:p>
        </w:tc>
      </w:tr>
    </w:tbl>
    <w:p w:rsidR="00A81B96" w:rsidRPr="00A81B96" w:rsidRDefault="00A81B96" w:rsidP="00A81B9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6" w:rsidRDefault="00A30D5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A81B96" w:rsidRPr="00A81B96" w:rsidRDefault="00A81B96" w:rsidP="00A81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B96" w:rsidRPr="00A81B96" w:rsidRDefault="00A81B96" w:rsidP="00A81B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РОЖДЕНИЯ ДО ШКОЛЫ. Примерная основная образовательная программа дошкольного образования (пилотный вариант) / Под ред. Н. Е. Вераксы, Т. С. Комаровой, М. А. Васильевой. – 3-е изд., </w:t>
      </w:r>
      <w:proofErr w:type="spellStart"/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испр</w:t>
      </w:r>
      <w:proofErr w:type="spellEnd"/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М.,МОЗАИКА</w:t>
      </w:r>
      <w:proofErr w:type="gramEnd"/>
      <w:r w:rsidRPr="00A81B96">
        <w:rPr>
          <w:rFonts w:ascii="Times New Roman" w:eastAsia="SimSun" w:hAnsi="Times New Roman" w:cs="Times New Roman"/>
          <w:sz w:val="24"/>
          <w:szCs w:val="24"/>
          <w:lang w:eastAsia="ru-RU"/>
        </w:rPr>
        <w:t>-СИНТЕЗ, 2015. – 368 с.;</w:t>
      </w:r>
    </w:p>
    <w:p w:rsidR="00A81B96" w:rsidRPr="00A81B96" w:rsidRDefault="00A81B96" w:rsidP="00A81B96">
      <w:pPr>
        <w:tabs>
          <w:tab w:val="left" w:pos="541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tabs>
          <w:tab w:val="left" w:pos="541"/>
        </w:tabs>
        <w:spacing w:after="0" w:line="240" w:lineRule="auto"/>
        <w:ind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«Давайте вместе поиграем» методические советы по использованию дидактических игр с блоками </w:t>
      </w:r>
      <w:proofErr w:type="spell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</w:t>
      </w:r>
      <w:proofErr w:type="spell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Лелявина</w:t>
      </w:r>
      <w:proofErr w:type="spell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Формирование элементарных математических представлений у дошкольников / Р. Л. Березина, З. А. Михайлова, Р. Л. Непомнящая; под ред. А. А. Столяра. – Москва: Просвещение, 1988. – 303 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Помораева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И.А.,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Позина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В.А. Формирование элементарных математических представлений: Средняя группа. – 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М.:МОЗАИКА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-СИНТЕЗ, 2016. – 80 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Н.И. Захарова учебный курс «Играем с Логическими блоками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Дьенеша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Издательство Детство-пресс.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Щербакова Е.И. Методика обучения математике в детском саду. М.: Издательский центр «Академия», 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1998.-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272с.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Венгер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, Л. А. Воспитание сенсорной культуры ребенка / Л. А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Венгер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, Э. Г. Пилюгина, Н. Б. 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Венгер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. –  М.  Просвещение, 1988. – 144 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Носова, Е.  А.  Логика и математика для дошкольников / Е.  А.  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Носова,  Р.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 Л.  Непомнящая. – СПб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. :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Акцидент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,  1997. – 79 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Фидлер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, М. Математика уже в детском саду / М. </w:t>
      </w: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Фидлер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. – М. – 1981. – 159 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proofErr w:type="spell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Альтхауз</w:t>
      </w:r>
      <w:proofErr w:type="spell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 Д., Дум Э. Цвет-форма-количество. – М.: Просвещение, 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1984.-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64с.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Михайлова 3.А, Иоффе Э.Н. «Математика от трех до семи», «Детство-пресс», Санкт-Петербург - 2001г.</w:t>
      </w:r>
    </w:p>
    <w:p w:rsidR="00A81B96" w:rsidRPr="00A81B96" w:rsidRDefault="00A81B96" w:rsidP="00A81B9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A81B96" w:rsidRPr="00A30D56" w:rsidRDefault="00A81B96" w:rsidP="00A30D56">
      <w:pPr>
        <w:widowControl w:val="0"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</w:pPr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 xml:space="preserve">Панова Е.Н, «Дидактические игры - занятия в ДОУ», </w:t>
      </w:r>
      <w:proofErr w:type="gramStart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ТЦ  «</w:t>
      </w:r>
      <w:proofErr w:type="gramEnd"/>
      <w:r w:rsidRPr="00A81B96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zh-CN" w:bidi="hi-IN"/>
        </w:rPr>
        <w:t>Учитель» - 2006г</w:t>
      </w:r>
    </w:p>
    <w:p w:rsidR="00A81B96" w:rsidRPr="00A81B96" w:rsidRDefault="00A81B96" w:rsidP="00A81B9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Диагностический этап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Задача: </w:t>
      </w:r>
      <w:r w:rsidRPr="00A81B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Выявить уровень развития элементарных математических представлений у детей средней группы</w:t>
      </w:r>
      <w:r w:rsidRPr="00A81B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 разработана</w:t>
      </w:r>
      <w:proofErr w:type="gram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диагностическая  карта по  выявлению математических представлений детей  среднего  дошкольного   возраста: </w:t>
      </w:r>
    </w:p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предлагались в соответствии с методическими рекомендациями по «Программе воспитания и обучения в детском саду» под редакцией </w:t>
      </w:r>
    </w:p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Васильевой,  В.В.</w:t>
      </w:r>
      <w:proofErr w:type="gram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Гербовой,  Т.С. Комаровой.   </w:t>
      </w:r>
    </w:p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443"/>
        <w:gridCol w:w="442"/>
        <w:gridCol w:w="443"/>
        <w:gridCol w:w="458"/>
        <w:gridCol w:w="443"/>
        <w:gridCol w:w="524"/>
        <w:gridCol w:w="453"/>
        <w:gridCol w:w="535"/>
        <w:gridCol w:w="443"/>
        <w:gridCol w:w="579"/>
        <w:gridCol w:w="482"/>
        <w:gridCol w:w="507"/>
        <w:gridCol w:w="525"/>
        <w:gridCol w:w="637"/>
        <w:gridCol w:w="684"/>
        <w:gridCol w:w="822"/>
      </w:tblGrid>
      <w:tr w:rsidR="00A81B96" w:rsidRPr="00A81B96" w:rsidTr="00A30D56">
        <w:tc>
          <w:tcPr>
            <w:tcW w:w="1492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885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A81B96" w:rsidRPr="00A81B96" w:rsidTr="00A30D56">
        <w:tc>
          <w:tcPr>
            <w:tcW w:w="149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42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58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24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5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35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79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82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07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5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7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84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822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A81B96" w:rsidRPr="00A81B96" w:rsidTr="00A30D56">
        <w:tc>
          <w:tcPr>
            <w:tcW w:w="149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81B96" w:rsidRPr="00A81B96" w:rsidRDefault="00A81B96" w:rsidP="00A81B96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96" w:rsidRPr="00A81B96" w:rsidTr="00A30D56">
        <w:tc>
          <w:tcPr>
            <w:tcW w:w="149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ФЭМП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Имеет представление о том, что множество может состоять из разных по качеству элементов: предметов разного цвета, формы, размера; 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Сравнивает части множества, определяя их равенство или неравенство, на основе составления пар предметов;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уравнивать неравные группы двумя способами, добавляя к меньшей группе один предмет или убирая из большей группы один;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Сравнивает два предмета по величине (длине, ширине, высоте), по толщине путем непосредственного наложения или приложения их друг к другу; отражает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толщине);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Использует в активной речи понятия, обозначающие размерные отношения предметов (эта (красная) башенка —самая высокая, эта (оранжевая) —пониже, эта (розовая) — еще ниже, а эта (желтая) — самая низкая» и т. д.);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 представления о геометрических фигурах: круге, квадрате, треугольнике, а также шаре, кубе; выделяет особые признаки фигур с помощью зрительного и осязательно-двигательного анализаторов (наличие или отсутствие углов, устойчивость, подвижность и др.); и соотносит форму предметов с известными геометрическими фигурами: тарелка — круг, платок — квадрат, мяч —шар, окно, дверь —прямоугольник и др.</w:t>
      </w: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Способен определять пространственные направления от себя, двигаться в заданном направлении (вперед — назад, направо —налево,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Pr="00A30D56" w:rsidRDefault="00A81B96" w:rsidP="00A30D56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сформированности логических операций мышления по методике Р.С. </w:t>
      </w:r>
      <w:proofErr w:type="spellStart"/>
      <w:r w:rsidRPr="00A3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Немова</w:t>
      </w:r>
      <w:proofErr w:type="spellEnd"/>
      <w:r w:rsidRPr="00A3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«Нелепицы», «Что зде</w:t>
      </w:r>
      <w:r w:rsidR="00A3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 лишнее», «Раздели на группы»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Методика «НЕЛЕПИЦЫ»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 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сформированности анализа, как операции логического мышления. С помощью этой же методики определяется умение ребенка рассуждать логически и грамматически правильно выражать свою мысль.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Проведение </w:t>
      </w: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методики 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Вначале ребенку показывают картинку. В ней имеются несколько нелепых ситуаций. Во время рассматривания картинки ребенок получает инструкцию примерно следующего содержания: </w:t>
      </w: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Внимательно</w:t>
      </w:r>
      <w:proofErr w:type="gram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 на эту картинку и скажи, все ли здесь находится на своем месте и правильно нарисовано.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тебе покажется не так, не на месте или неправильно нарисовано. То укажи на это и объясни, почему этот не так. Далее ты должен будешь сказать, как на самом деле должно быть».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экспозиции картинки и выполнения задания ограничено тремя минутами. За это время ребенок должен </w:t>
      </w:r>
      <w:proofErr w:type="gramStart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заметить</w:t>
      </w:r>
      <w:proofErr w:type="gramEnd"/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нелепых ситуаций и объяснить, что не так, почему не так и как на самом деле должно быть.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Методика </w:t>
      </w:r>
      <w:proofErr w:type="gramStart"/>
      <w:r w:rsidRPr="00A81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 ЧТО</w:t>
      </w:r>
      <w:proofErr w:type="gramEnd"/>
      <w:r w:rsidRPr="00A81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ЗДЕСЬ ЛИШНЕЕ?»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 </w:t>
      </w: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сформированности обобщения, как операции логического мышления.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методики: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методике предлагается серия картинок, на которых представлены разные виды домашней птицы и одно животное, в сопровождение следующей инструкции: «На каждой из этих картинок один из четырех изображенных на ней является лишним.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посмотри на картинки и определи, что здесь отличное от других и почему является лишним». На решение задачи отводится 3 минуты.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81B96" w:rsidRPr="00A81B96" w:rsidRDefault="00A81B96" w:rsidP="00A8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Методика «РАЗДЕЛИ НА ГРУППЫ»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 картинку и предлагают следующее задание: 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все фигуры, входящие в каждую из выделенных групп, и тот признак, по которому они выделены». На выполнение всего задания отводится 3 минуты.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детьми предложенных заданий оценивалось по десятибалльной системе, где: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8-10 - высокий уровень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5-7 - средний уровень</w:t>
      </w:r>
    </w:p>
    <w:p w:rsidR="00A81B96" w:rsidRPr="00A81B96" w:rsidRDefault="00A81B96" w:rsidP="00A81B9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96">
        <w:rPr>
          <w:rFonts w:ascii="Times New Roman" w:eastAsia="Times New Roman" w:hAnsi="Times New Roman" w:cs="Times New Roman"/>
          <w:sz w:val="24"/>
          <w:szCs w:val="24"/>
          <w:lang w:eastAsia="ru-RU"/>
        </w:rPr>
        <w:t>0-4 - низкий уровень</w:t>
      </w:r>
    </w:p>
    <w:p w:rsidR="00A81B96" w:rsidRPr="00A81B96" w:rsidRDefault="00A81B96" w:rsidP="00A81B96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004"/>
        <w:gridCol w:w="991"/>
        <w:gridCol w:w="1025"/>
        <w:gridCol w:w="956"/>
        <w:gridCol w:w="981"/>
        <w:gridCol w:w="1001"/>
        <w:gridCol w:w="989"/>
        <w:gridCol w:w="983"/>
      </w:tblGrid>
      <w:tr w:rsidR="00A81B96" w:rsidRPr="00A81B96" w:rsidTr="00A30D56">
        <w:tc>
          <w:tcPr>
            <w:tcW w:w="1982" w:type="dxa"/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995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Нелепицы</w:t>
            </w:r>
          </w:p>
        </w:tc>
        <w:tc>
          <w:tcPr>
            <w:tcW w:w="1981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здесь лишнее</w:t>
            </w:r>
          </w:p>
        </w:tc>
        <w:tc>
          <w:tcPr>
            <w:tcW w:w="1982" w:type="dxa"/>
            <w:gridSpan w:val="2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Раздели на группы</w:t>
            </w:r>
          </w:p>
        </w:tc>
        <w:tc>
          <w:tcPr>
            <w:tcW w:w="1972" w:type="dxa"/>
            <w:gridSpan w:val="2"/>
          </w:tcPr>
          <w:p w:rsidR="00A81B96" w:rsidRPr="00A81B96" w:rsidRDefault="00A81B96" w:rsidP="00A81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81B96" w:rsidRPr="00A81B96" w:rsidTr="00A30D56">
        <w:tc>
          <w:tcPr>
            <w:tcW w:w="198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99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25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956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00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96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9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983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A81B96" w:rsidRPr="00A81B96" w:rsidTr="00A30D56">
        <w:tc>
          <w:tcPr>
            <w:tcW w:w="198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81B96" w:rsidRPr="00A81B96" w:rsidRDefault="00A81B96" w:rsidP="00A81B96">
            <w:pPr>
              <w:ind w:right="-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96" w:rsidRPr="00A81B96" w:rsidTr="00A30D56">
        <w:tc>
          <w:tcPr>
            <w:tcW w:w="198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B96" w:rsidRPr="00A81B96" w:rsidTr="00A30D56">
        <w:tc>
          <w:tcPr>
            <w:tcW w:w="1982" w:type="dxa"/>
          </w:tcPr>
          <w:p w:rsidR="00A81B96" w:rsidRPr="00A81B96" w:rsidRDefault="00A81B96" w:rsidP="00A81B96">
            <w:pPr>
              <w:ind w:right="-4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81B96" w:rsidRPr="00A81B96" w:rsidRDefault="00A81B96" w:rsidP="00A81B96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A81B96" w:rsidRPr="00A81B96" w:rsidRDefault="00A81B96" w:rsidP="00A81B96">
            <w:pPr>
              <w:autoSpaceDE w:val="0"/>
              <w:autoSpaceDN w:val="0"/>
              <w:adjustRightInd w:val="0"/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B96" w:rsidRPr="00A81B96" w:rsidRDefault="00A81B96" w:rsidP="00A81B96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96" w:rsidRPr="00A81B96" w:rsidRDefault="00A81B96" w:rsidP="00A81B96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44" w:rsidRDefault="00730F44"/>
    <w:sectPr w:rsidR="00730F44" w:rsidSect="00EB4C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545"/>
    <w:multiLevelType w:val="hybridMultilevel"/>
    <w:tmpl w:val="2474CE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54567C"/>
    <w:multiLevelType w:val="hybridMultilevel"/>
    <w:tmpl w:val="A98AA73C"/>
    <w:lvl w:ilvl="0" w:tplc="9532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C01F1"/>
    <w:multiLevelType w:val="hybridMultilevel"/>
    <w:tmpl w:val="0C2E94E6"/>
    <w:lvl w:ilvl="0" w:tplc="E6087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0"/>
    <w:rsid w:val="006F51C0"/>
    <w:rsid w:val="00730F44"/>
    <w:rsid w:val="00A30D56"/>
    <w:rsid w:val="00A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7879-2C7B-40C1-B1B3-958982A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2797</Words>
  <Characters>15947</Characters>
  <Application>Microsoft Office Word</Application>
  <DocSecurity>0</DocSecurity>
  <Lines>132</Lines>
  <Paragraphs>37</Paragraphs>
  <ScaleCrop>false</ScaleCrop>
  <Company/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2023-05-17T04:00:00Z</dcterms:created>
  <dcterms:modified xsi:type="dcterms:W3CDTF">2023-05-17T04:07:00Z</dcterms:modified>
</cp:coreProperties>
</file>